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29CA64DC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PAUTA DA 4</w:t>
            </w:r>
            <w:r w:rsidR="000A441F">
              <w:rPr>
                <w:rFonts w:cs="Arial"/>
                <w:b/>
                <w:sz w:val="24"/>
                <w:szCs w:val="24"/>
              </w:rPr>
              <w:t>4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3F591895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0A441F">
              <w:rPr>
                <w:rFonts w:cs="Arial"/>
                <w:b/>
                <w:sz w:val="24"/>
                <w:szCs w:val="24"/>
              </w:rPr>
              <w:t>15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31020E">
              <w:rPr>
                <w:rFonts w:cs="Arial"/>
                <w:b/>
                <w:sz w:val="24"/>
                <w:szCs w:val="24"/>
              </w:rPr>
              <w:t>DEZ</w:t>
            </w:r>
            <w:r w:rsidRPr="00016C49">
              <w:rPr>
                <w:rFonts w:cs="Arial"/>
                <w:b/>
                <w:sz w:val="24"/>
                <w:szCs w:val="24"/>
              </w:rPr>
              <w:t>EMBRO DE 2025,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056AD5ED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sz w:val="24"/>
                <w:szCs w:val="24"/>
              </w:rPr>
              <w:t xml:space="preserve">- </w:t>
            </w:r>
            <w:r w:rsidR="000A441F">
              <w:rPr>
                <w:rFonts w:cs="Arial"/>
              </w:rPr>
              <w:t>Não há</w:t>
            </w:r>
            <w:r w:rsidRPr="00016C49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47E3DED" w:rsidR="00016C49" w:rsidRPr="0031020E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31020E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30E8EB57" w14:textId="7A1A60B8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</w:p>
          <w:p w14:paraId="72994451" w14:textId="64397BEF" w:rsidR="00016C49" w:rsidRPr="00016C49" w:rsidRDefault="000A441F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sz w:val="24"/>
                <w:szCs w:val="24"/>
              </w:rPr>
              <w:t xml:space="preserve">Não há projetos </w:t>
            </w:r>
            <w:r>
              <w:rPr>
                <w:rFonts w:cs="Arial"/>
                <w:sz w:val="24"/>
                <w:szCs w:val="24"/>
              </w:rPr>
              <w:t xml:space="preserve">dando entrada, nem </w:t>
            </w:r>
            <w:r w:rsidRPr="00016C49">
              <w:rPr>
                <w:rFonts w:cs="Arial"/>
                <w:sz w:val="24"/>
                <w:szCs w:val="24"/>
              </w:rPr>
              <w:t>em tramitação</w:t>
            </w:r>
            <w:r>
              <w:rPr>
                <w:rFonts w:cs="Arial"/>
                <w:sz w:val="24"/>
                <w:szCs w:val="24"/>
              </w:rPr>
              <w:t>, nem para serem votados em turno único, primeiro e segundo turnos</w:t>
            </w:r>
            <w:r w:rsidRPr="00016C49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2441A34A" w14:textId="77777777" w:rsid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</w:p>
          <w:p w14:paraId="4EF510D0" w14:textId="4F288904" w:rsidR="0031020E" w:rsidRPr="00016C49" w:rsidRDefault="000A441F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A441F">
              <w:rPr>
                <w:rFonts w:cs="Arial"/>
                <w:b/>
                <w:bCs/>
                <w:sz w:val="24"/>
                <w:szCs w:val="24"/>
              </w:rPr>
              <w:t>PLC 123/2025</w:t>
            </w:r>
            <w:r w:rsidRPr="000A441F">
              <w:rPr>
                <w:rFonts w:cs="Arial"/>
                <w:sz w:val="24"/>
                <w:szCs w:val="24"/>
              </w:rPr>
              <w:t>, que “Altera a Lei Complementar nº 4, de 23 de dezembro de 1994 (Código Tributário Municipal) para revogação e inclusão de dispositivos, e a Lei Complementar 33, de 6 de novembro de 2014, para inclusão de serviço na Lista de Serviços da Tabela I, e dá outras providências”.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B68DB4D" w14:textId="77777777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  <w:p w14:paraId="00B20579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bookmarkStart w:id="0" w:name="_Hlk216708069"/>
            <w:r w:rsidRPr="00016C49">
              <w:rPr>
                <w:rFonts w:cs="Arial"/>
                <w:b/>
                <w:bCs/>
                <w:sz w:val="24"/>
                <w:szCs w:val="24"/>
              </w:rPr>
              <w:t>PL 4.275/2025</w:t>
            </w:r>
            <w:r w:rsidRPr="00016C49">
              <w:rPr>
                <w:rFonts w:cs="Arial"/>
                <w:sz w:val="24"/>
                <w:szCs w:val="24"/>
              </w:rPr>
              <w:t>, que “</w:t>
            </w:r>
            <w:bookmarkStart w:id="1" w:name="_Hlk210295228"/>
            <w:r w:rsidRPr="00016C49">
              <w:rPr>
                <w:rFonts w:cs="Arial"/>
                <w:sz w:val="24"/>
                <w:szCs w:val="24"/>
              </w:rPr>
              <w:t>Estima a receita e fixa a despesa do município de Muzambinho/MG, para o exercício de 2026</w:t>
            </w:r>
            <w:bookmarkEnd w:id="1"/>
            <w:r w:rsidRPr="00016C49">
              <w:rPr>
                <w:rFonts w:cs="Arial"/>
                <w:sz w:val="24"/>
                <w:szCs w:val="24"/>
              </w:rPr>
              <w:t>”.</w:t>
            </w:r>
          </w:p>
          <w:p w14:paraId="4888A708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4.276/2025</w:t>
            </w:r>
            <w:r w:rsidRPr="00016C49">
              <w:rPr>
                <w:rFonts w:cs="Arial"/>
                <w:sz w:val="24"/>
                <w:szCs w:val="24"/>
              </w:rPr>
              <w:t>, que “Dispõe sobre o Plano Plurianual do município para o quadriênio 2026-2029, em cumprimento ao disposto no § 1º do art. 165 da Constituição Federal e na Lei Orgânica Municipal, estabelecendo os objetivos e metas da administração pública”.</w:t>
            </w:r>
          </w:p>
          <w:p w14:paraId="608BC117" w14:textId="77777777" w:rsidR="005C55DF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4.278/2025</w:t>
            </w:r>
            <w:r w:rsidRPr="00016C49">
              <w:rPr>
                <w:rFonts w:cs="Arial"/>
                <w:sz w:val="24"/>
                <w:szCs w:val="24"/>
              </w:rPr>
              <w:t>, que “Dispõe sobre regulamentação específica para concessão de subvenções sociais, auxílios e contribuições para o exercício de 2026 a teor do artigo 26 da Lei Complementar 101, de 4 de maio de 2000, e dá outras providências”.</w:t>
            </w:r>
          </w:p>
          <w:bookmarkEnd w:id="0"/>
          <w:p w14:paraId="7603879D" w14:textId="6C7B66DF" w:rsidR="000A441F" w:rsidRPr="00016C49" w:rsidRDefault="000A441F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32411C">
              <w:rPr>
                <w:rFonts w:cs="Arial"/>
                <w:b/>
                <w:bCs/>
                <w:sz w:val="24"/>
                <w:szCs w:val="24"/>
              </w:rPr>
              <w:t>PL 4.281/2025</w:t>
            </w:r>
            <w:r w:rsidRPr="0032411C">
              <w:rPr>
                <w:rFonts w:cs="Arial"/>
                <w:sz w:val="24"/>
                <w:szCs w:val="24"/>
              </w:rPr>
              <w:t>, que “Dá nova redação a dispositivos que especifica da Lei Municipal nº 3.147, de 12 de março de 2010”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19B6E3CE" w14:textId="77777777" w:rsidR="00016C49" w:rsidRDefault="00016C49" w:rsidP="00D91AF7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turno único: </w:t>
            </w:r>
          </w:p>
          <w:p w14:paraId="685A73E9" w14:textId="5A920B15" w:rsidR="000A441F" w:rsidRPr="00016C49" w:rsidRDefault="000A441F" w:rsidP="00D91AF7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para serem votados em turno único, nem em primeiro turno.</w:t>
            </w:r>
          </w:p>
        </w:tc>
      </w:tr>
      <w:tr w:rsidR="00D91AF7" w:rsidRPr="00016C49" w14:paraId="23CD8903" w14:textId="77777777" w:rsidTr="00016C49">
        <w:tc>
          <w:tcPr>
            <w:tcW w:w="10621" w:type="dxa"/>
          </w:tcPr>
          <w:p w14:paraId="17B4E6BB" w14:textId="77777777" w:rsidR="00D91AF7" w:rsidRDefault="00D91AF7" w:rsidP="00D91AF7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</w:t>
            </w:r>
            <w:r>
              <w:rPr>
                <w:rFonts w:cs="Arial"/>
                <w:b/>
                <w:sz w:val="24"/>
                <w:szCs w:val="24"/>
              </w:rPr>
              <w:t xml:space="preserve">segundo </w:t>
            </w:r>
            <w:r w:rsidRPr="00016C49">
              <w:rPr>
                <w:rFonts w:cs="Arial"/>
                <w:b/>
                <w:sz w:val="24"/>
                <w:szCs w:val="24"/>
              </w:rPr>
              <w:t>turno:</w:t>
            </w:r>
          </w:p>
          <w:p w14:paraId="12045280" w14:textId="77777777" w:rsidR="000A441F" w:rsidRPr="00016C49" w:rsidRDefault="000A441F" w:rsidP="000A441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4.277/2025</w:t>
            </w:r>
            <w:r w:rsidRPr="00016C49">
              <w:rPr>
                <w:rFonts w:cs="Arial"/>
                <w:sz w:val="24"/>
                <w:szCs w:val="24"/>
              </w:rPr>
              <w:t>, que “Dispõe sobre autorização para desmembramento de lote que especifica e dá outras providências”.</w:t>
            </w:r>
          </w:p>
          <w:p w14:paraId="4E801C61" w14:textId="4ADDC5AD" w:rsidR="000A441F" w:rsidRPr="00D91AF7" w:rsidRDefault="000A441F" w:rsidP="000A441F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31020E">
              <w:rPr>
                <w:rFonts w:cs="Arial"/>
                <w:b/>
                <w:sz w:val="24"/>
                <w:szCs w:val="24"/>
              </w:rPr>
              <w:t>PL 4.280/2025</w:t>
            </w:r>
            <w:r w:rsidRPr="0031020E">
              <w:rPr>
                <w:rFonts w:cs="Arial"/>
                <w:sz w:val="24"/>
                <w:szCs w:val="24"/>
              </w:rPr>
              <w:t>, que “Autoriza o Poder Executivo Municipal a proceder à desafetação parcial e descaracterização de área verde de domínio público, sua permuta por imóvel particular e a afetação deste como área verde, e dá outras providências”.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55DF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1AE9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532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AF7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353</Words>
  <Characters>1828</Characters>
  <Application>Microsoft Office Word</Application>
  <DocSecurity>0</DocSecurity>
  <Lines>65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14</cp:revision>
  <cp:lastPrinted>2025-11-28T19:10:00Z</cp:lastPrinted>
  <dcterms:created xsi:type="dcterms:W3CDTF">2025-11-17T11:47:00Z</dcterms:created>
  <dcterms:modified xsi:type="dcterms:W3CDTF">2025-12-15T19:24:00Z</dcterms:modified>
</cp:coreProperties>
</file>